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D3B9" w14:textId="133B750B" w:rsidR="00926015" w:rsidRPr="00926015" w:rsidRDefault="00926015" w:rsidP="00926015"/>
    <w:p w14:paraId="6BDCAC00" w14:textId="77777777" w:rsidR="00916CB4" w:rsidRDefault="00916CB4"/>
    <w:p w14:paraId="3A813D82" w14:textId="66134F7B" w:rsidR="00926015" w:rsidRPr="00FE62D8" w:rsidRDefault="00926015" w:rsidP="00926015">
      <w:pPr>
        <w:jc w:val="center"/>
        <w:rPr>
          <w:b/>
          <w:bCs/>
          <w:color w:val="C00000"/>
          <w:sz w:val="36"/>
          <w:szCs w:val="36"/>
        </w:rPr>
      </w:pPr>
      <w:bookmarkStart w:id="0" w:name="_Hlk187916897"/>
      <w:r w:rsidRPr="00FE62D8">
        <w:rPr>
          <w:b/>
          <w:bCs/>
          <w:color w:val="C00000"/>
          <w:sz w:val="36"/>
          <w:szCs w:val="36"/>
        </w:rPr>
        <w:t>COMBUSTIBLE</w:t>
      </w:r>
    </w:p>
    <w:p w14:paraId="090250C8" w14:textId="77777777" w:rsidR="00926015" w:rsidRDefault="00926015" w:rsidP="00926015">
      <w:pPr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</w:p>
    <w:p w14:paraId="338F2B4A" w14:textId="7CE5F44C" w:rsidR="00C82BCA" w:rsidRPr="00C82BCA" w:rsidRDefault="00C82BCA" w:rsidP="00C82BCA">
      <w:pPr>
        <w:jc w:val="both"/>
        <w:rPr>
          <w:rFonts w:ascii="Calibri" w:hAnsi="Calibri" w:cs="Calibri"/>
          <w:sz w:val="24"/>
          <w:szCs w:val="24"/>
        </w:rPr>
      </w:pPr>
      <w:r w:rsidRPr="00C82BCA">
        <w:rPr>
          <w:rFonts w:ascii="Calibri" w:hAnsi="Calibri" w:cs="Calibri"/>
          <w:sz w:val="24"/>
          <w:szCs w:val="24"/>
        </w:rPr>
        <w:t xml:space="preserve">Pese </w:t>
      </w:r>
      <w:r w:rsidR="001E0CB4">
        <w:rPr>
          <w:rFonts w:ascii="Calibri" w:hAnsi="Calibri" w:cs="Calibri"/>
          <w:sz w:val="24"/>
          <w:szCs w:val="24"/>
        </w:rPr>
        <w:t>al aumento monetario del Diesel</w:t>
      </w:r>
      <w:r w:rsidR="00440088">
        <w:rPr>
          <w:rFonts w:ascii="Calibri" w:hAnsi="Calibri" w:cs="Calibri"/>
          <w:sz w:val="24"/>
          <w:szCs w:val="24"/>
        </w:rPr>
        <w:t xml:space="preserve"> que</w:t>
      </w:r>
      <w:r w:rsidR="001E0CB4">
        <w:rPr>
          <w:rFonts w:ascii="Calibri" w:hAnsi="Calibri" w:cs="Calibri"/>
          <w:sz w:val="24"/>
          <w:szCs w:val="24"/>
        </w:rPr>
        <w:t xml:space="preserve"> tuvo </w:t>
      </w:r>
      <w:r w:rsidR="00953079">
        <w:rPr>
          <w:rFonts w:ascii="Calibri" w:hAnsi="Calibri" w:cs="Calibri"/>
          <w:sz w:val="24"/>
          <w:szCs w:val="24"/>
        </w:rPr>
        <w:t xml:space="preserve">un </w:t>
      </w:r>
      <w:r w:rsidR="001E0CB4">
        <w:rPr>
          <w:rFonts w:ascii="Calibri" w:hAnsi="Calibri" w:cs="Calibri"/>
          <w:sz w:val="24"/>
          <w:szCs w:val="24"/>
        </w:rPr>
        <w:t xml:space="preserve">incremento de </w:t>
      </w:r>
      <w:r w:rsidR="00953079">
        <w:rPr>
          <w:rFonts w:ascii="Calibri" w:hAnsi="Calibri" w:cs="Calibri"/>
          <w:sz w:val="24"/>
          <w:szCs w:val="24"/>
        </w:rPr>
        <w:t>25</w:t>
      </w:r>
      <w:r w:rsidR="001E0CB4">
        <w:rPr>
          <w:rFonts w:ascii="Calibri" w:hAnsi="Calibri" w:cs="Calibri"/>
          <w:sz w:val="24"/>
          <w:szCs w:val="24"/>
        </w:rPr>
        <w:t xml:space="preserve"> centavos en el mes de </w:t>
      </w:r>
      <w:r w:rsidR="00440088">
        <w:rPr>
          <w:rFonts w:ascii="Calibri" w:hAnsi="Calibri" w:cs="Calibri"/>
          <w:sz w:val="24"/>
          <w:szCs w:val="24"/>
        </w:rPr>
        <w:t>diciembre</w:t>
      </w:r>
      <w:r w:rsidR="00953079">
        <w:rPr>
          <w:rFonts w:ascii="Calibri" w:hAnsi="Calibri" w:cs="Calibri"/>
          <w:sz w:val="24"/>
          <w:szCs w:val="24"/>
        </w:rPr>
        <w:t xml:space="preserve"> del 2024</w:t>
      </w:r>
      <w:r w:rsidR="001E0CB4">
        <w:rPr>
          <w:rFonts w:ascii="Calibri" w:hAnsi="Calibri" w:cs="Calibri"/>
          <w:sz w:val="24"/>
          <w:szCs w:val="24"/>
        </w:rPr>
        <w:t>, se puede observar que fue el mes con</w:t>
      </w:r>
      <w:r w:rsidR="00440088">
        <w:rPr>
          <w:rFonts w:ascii="Calibri" w:hAnsi="Calibri" w:cs="Calibri"/>
          <w:sz w:val="24"/>
          <w:szCs w:val="24"/>
        </w:rPr>
        <w:t xml:space="preserve"> mayor</w:t>
      </w:r>
      <w:r w:rsidR="001E0CB4">
        <w:rPr>
          <w:rFonts w:ascii="Calibri" w:hAnsi="Calibri" w:cs="Calibri"/>
          <w:sz w:val="24"/>
          <w:szCs w:val="24"/>
        </w:rPr>
        <w:t xml:space="preserve"> disminución </w:t>
      </w:r>
      <w:r w:rsidR="00440088">
        <w:rPr>
          <w:rFonts w:ascii="Calibri" w:hAnsi="Calibri" w:cs="Calibri"/>
          <w:sz w:val="24"/>
          <w:szCs w:val="24"/>
        </w:rPr>
        <w:t>fue el mes de octubre, esperando con aumento en la gasolina Magna en los próximos meses.</w:t>
      </w:r>
    </w:p>
    <w:p w14:paraId="167C9665" w14:textId="77777777" w:rsidR="00C82BCA" w:rsidRPr="00C82BCA" w:rsidRDefault="00C82BCA" w:rsidP="00C82BCA">
      <w:pPr>
        <w:jc w:val="both"/>
        <w:rPr>
          <w:rFonts w:ascii="Calibri" w:hAnsi="Calibri" w:cs="Calibri"/>
          <w:sz w:val="24"/>
          <w:szCs w:val="24"/>
        </w:rPr>
      </w:pPr>
      <w:r w:rsidRPr="00C82BCA">
        <w:rPr>
          <w:rFonts w:ascii="Calibri" w:hAnsi="Calibri" w:cs="Calibri"/>
          <w:sz w:val="24"/>
          <w:szCs w:val="24"/>
        </w:rPr>
        <w:t>Las causas son múltiples, a decir de especialistas, principalmente el incremento de los precios internacionales de los energéticos en los últimos años.</w:t>
      </w:r>
    </w:p>
    <w:p w14:paraId="5CD8C23A" w14:textId="71065D1A" w:rsidR="00107BD4" w:rsidRPr="00C82BCA" w:rsidRDefault="00107BD4" w:rsidP="00C82BCA">
      <w:pPr>
        <w:jc w:val="both"/>
        <w:rPr>
          <w:rFonts w:ascii="Calibri" w:hAnsi="Calibri" w:cs="Calibri"/>
          <w:sz w:val="24"/>
          <w:szCs w:val="24"/>
        </w:rPr>
      </w:pPr>
      <w:r w:rsidRPr="00C82BCA">
        <w:rPr>
          <w:rFonts w:ascii="Calibri" w:hAnsi="Calibri" w:cs="Calibri"/>
          <w:sz w:val="24"/>
          <w:szCs w:val="24"/>
        </w:rPr>
        <w:t xml:space="preserve">Si comparamos el gasto de combustible </w:t>
      </w:r>
      <w:r w:rsidR="00440088">
        <w:rPr>
          <w:rFonts w:ascii="Calibri" w:hAnsi="Calibri" w:cs="Calibri"/>
          <w:sz w:val="24"/>
          <w:szCs w:val="24"/>
        </w:rPr>
        <w:t xml:space="preserve">de octubre-diciembre </w:t>
      </w:r>
      <w:r w:rsidRPr="00C82BCA">
        <w:rPr>
          <w:rFonts w:ascii="Calibri" w:hAnsi="Calibri" w:cs="Calibri"/>
          <w:sz w:val="24"/>
          <w:szCs w:val="24"/>
        </w:rPr>
        <w:t>202</w:t>
      </w:r>
      <w:r w:rsidR="00516292">
        <w:rPr>
          <w:rFonts w:ascii="Calibri" w:hAnsi="Calibri" w:cs="Calibri"/>
          <w:sz w:val="24"/>
          <w:szCs w:val="24"/>
        </w:rPr>
        <w:t>3</w:t>
      </w:r>
      <w:r w:rsidRPr="00C82BCA">
        <w:rPr>
          <w:rFonts w:ascii="Calibri" w:hAnsi="Calibri" w:cs="Calibri"/>
          <w:sz w:val="24"/>
          <w:szCs w:val="24"/>
        </w:rPr>
        <w:t xml:space="preserve"> </w:t>
      </w:r>
      <w:r w:rsidR="00440088">
        <w:rPr>
          <w:rFonts w:ascii="Calibri" w:hAnsi="Calibri" w:cs="Calibri"/>
          <w:sz w:val="24"/>
          <w:szCs w:val="24"/>
        </w:rPr>
        <w:t xml:space="preserve">y </w:t>
      </w:r>
      <w:r w:rsidR="00440088">
        <w:rPr>
          <w:rFonts w:ascii="Calibri" w:hAnsi="Calibri" w:cs="Calibri"/>
          <w:sz w:val="24"/>
          <w:szCs w:val="24"/>
        </w:rPr>
        <w:t xml:space="preserve">octubre-diciembre </w:t>
      </w:r>
      <w:r w:rsidRPr="00C82BCA">
        <w:rPr>
          <w:rFonts w:ascii="Calibri" w:hAnsi="Calibri" w:cs="Calibri"/>
          <w:sz w:val="24"/>
          <w:szCs w:val="24"/>
        </w:rPr>
        <w:t xml:space="preserve">2024, encontraremos que hay </w:t>
      </w:r>
      <w:r w:rsidR="00CF5E78" w:rsidRPr="00C82BCA">
        <w:rPr>
          <w:rFonts w:ascii="Calibri" w:hAnsi="Calibri" w:cs="Calibri"/>
          <w:sz w:val="24"/>
          <w:szCs w:val="24"/>
        </w:rPr>
        <w:t>un</w:t>
      </w:r>
      <w:r w:rsidR="00440088">
        <w:rPr>
          <w:rFonts w:ascii="Calibri" w:hAnsi="Calibri" w:cs="Calibri"/>
          <w:sz w:val="24"/>
          <w:szCs w:val="24"/>
        </w:rPr>
        <w:t xml:space="preserve"> mayor</w:t>
      </w:r>
      <w:r w:rsidR="00CF5E78" w:rsidRPr="00C82BCA">
        <w:rPr>
          <w:rFonts w:ascii="Calibri" w:hAnsi="Calibri" w:cs="Calibri"/>
          <w:sz w:val="24"/>
          <w:szCs w:val="24"/>
        </w:rPr>
        <w:t xml:space="preserve"> incremento</w:t>
      </w:r>
      <w:r w:rsidRPr="00C82BCA">
        <w:rPr>
          <w:rFonts w:ascii="Calibri" w:hAnsi="Calibri" w:cs="Calibri"/>
          <w:sz w:val="24"/>
          <w:szCs w:val="24"/>
        </w:rPr>
        <w:t xml:space="preserve"> ya que el costo de</w:t>
      </w:r>
      <w:r w:rsidR="00440088">
        <w:rPr>
          <w:rFonts w:ascii="Calibri" w:hAnsi="Calibri" w:cs="Calibri"/>
          <w:sz w:val="24"/>
          <w:szCs w:val="24"/>
        </w:rPr>
        <w:t xml:space="preserve">l diésel </w:t>
      </w:r>
      <w:r w:rsidRPr="00C82BCA">
        <w:rPr>
          <w:rFonts w:ascii="Calibri" w:hAnsi="Calibri" w:cs="Calibri"/>
          <w:sz w:val="24"/>
          <w:szCs w:val="24"/>
        </w:rPr>
        <w:t xml:space="preserve">ha ido en aumento cada día </w:t>
      </w:r>
      <w:r w:rsidR="00CF5E78" w:rsidRPr="00C82BCA">
        <w:rPr>
          <w:rFonts w:ascii="Calibri" w:hAnsi="Calibri" w:cs="Calibri"/>
          <w:sz w:val="24"/>
          <w:szCs w:val="24"/>
        </w:rPr>
        <w:t>más</w:t>
      </w:r>
      <w:r w:rsidRPr="00C82BCA">
        <w:rPr>
          <w:rFonts w:ascii="Calibri" w:hAnsi="Calibri" w:cs="Calibri"/>
          <w:sz w:val="24"/>
          <w:szCs w:val="24"/>
        </w:rPr>
        <w:t>.</w:t>
      </w:r>
    </w:p>
    <w:p w14:paraId="63ED2173" w14:textId="35B8BA4E" w:rsidR="006110D3" w:rsidRDefault="006110D3" w:rsidP="00107BD4">
      <w:pPr>
        <w:jc w:val="both"/>
        <w:rPr>
          <w:sz w:val="24"/>
          <w:szCs w:val="24"/>
        </w:rPr>
      </w:pPr>
    </w:p>
    <w:tbl>
      <w:tblPr>
        <w:tblStyle w:val="Tablaconcuadrcula1clara"/>
        <w:tblW w:w="9360" w:type="dxa"/>
        <w:tblLook w:val="04A0" w:firstRow="1" w:lastRow="0" w:firstColumn="1" w:lastColumn="0" w:noHBand="0" w:noVBand="1"/>
      </w:tblPr>
      <w:tblGrid>
        <w:gridCol w:w="1200"/>
        <w:gridCol w:w="1900"/>
        <w:gridCol w:w="2320"/>
        <w:gridCol w:w="1780"/>
        <w:gridCol w:w="2160"/>
      </w:tblGrid>
      <w:tr w:rsidR="00FE62D8" w:rsidRPr="00FE62D8" w14:paraId="00E044C1" w14:textId="77777777" w:rsidTr="00F54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5C9EB" w:themeFill="text2" w:themeFillTint="40"/>
            <w:hideMark/>
          </w:tcPr>
          <w:p w14:paraId="1B44F203" w14:textId="77777777" w:rsidR="00FE62D8" w:rsidRPr="00440088" w:rsidRDefault="00FE62D8" w:rsidP="00FE62D8">
            <w:pPr>
              <w:jc w:val="center"/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40088">
              <w:rPr>
                <w:rFonts w:ascii="Aptos" w:eastAsia="Times New Roman" w:hAnsi="Aptos" w:cs="Times New Roman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MES</w:t>
            </w:r>
          </w:p>
        </w:tc>
        <w:tc>
          <w:tcPr>
            <w:tcW w:w="1900" w:type="dxa"/>
            <w:shd w:val="clear" w:color="auto" w:fill="83CAEB" w:themeFill="accent1" w:themeFillTint="66"/>
            <w:hideMark/>
          </w:tcPr>
          <w:p w14:paraId="3F051630" w14:textId="77777777" w:rsidR="00FE62D8" w:rsidRPr="00440088" w:rsidRDefault="00FE62D8" w:rsidP="00FE6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40088">
              <w:rPr>
                <w:rFonts w:ascii="Aptos" w:eastAsia="Times New Roman" w:hAnsi="Aptos" w:cs="Times New Roman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2023</w:t>
            </w:r>
          </w:p>
        </w:tc>
        <w:tc>
          <w:tcPr>
            <w:tcW w:w="2320" w:type="dxa"/>
            <w:shd w:val="clear" w:color="auto" w:fill="F6C5AC" w:themeFill="accent2" w:themeFillTint="66"/>
            <w:hideMark/>
          </w:tcPr>
          <w:p w14:paraId="4130F2A6" w14:textId="77777777" w:rsidR="00FE62D8" w:rsidRPr="00440088" w:rsidRDefault="00FE62D8" w:rsidP="00FE6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40088">
              <w:rPr>
                <w:rFonts w:ascii="Aptos" w:eastAsia="Times New Roman" w:hAnsi="Aptos" w:cs="Times New Roman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2024</w:t>
            </w:r>
          </w:p>
        </w:tc>
        <w:tc>
          <w:tcPr>
            <w:tcW w:w="1780" w:type="dxa"/>
            <w:shd w:val="clear" w:color="auto" w:fill="A5C9EB" w:themeFill="text2" w:themeFillTint="40"/>
            <w:hideMark/>
          </w:tcPr>
          <w:p w14:paraId="0DD9A186" w14:textId="77777777" w:rsidR="00FE62D8" w:rsidRPr="00440088" w:rsidRDefault="00FE62D8" w:rsidP="00FE6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40088">
              <w:rPr>
                <w:rFonts w:ascii="Aptos" w:eastAsia="Times New Roman" w:hAnsi="Aptos" w:cs="Times New Roman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AUMENTO</w:t>
            </w:r>
          </w:p>
        </w:tc>
        <w:tc>
          <w:tcPr>
            <w:tcW w:w="2160" w:type="dxa"/>
            <w:shd w:val="clear" w:color="auto" w:fill="A5C9EB" w:themeFill="text2" w:themeFillTint="40"/>
            <w:hideMark/>
          </w:tcPr>
          <w:p w14:paraId="711655A3" w14:textId="77777777" w:rsidR="00FE62D8" w:rsidRPr="00440088" w:rsidRDefault="00FE62D8" w:rsidP="00FE6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40088">
              <w:rPr>
                <w:rFonts w:ascii="Aptos" w:eastAsia="Times New Roman" w:hAnsi="Aptos" w:cs="Times New Roman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 xml:space="preserve">PORCENTAJE </w:t>
            </w:r>
          </w:p>
        </w:tc>
      </w:tr>
      <w:tr w:rsidR="00FE62D8" w:rsidRPr="00FE62D8" w14:paraId="06FF217B" w14:textId="77777777" w:rsidTr="00F5449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5C9EB" w:themeFill="text2" w:themeFillTint="40"/>
            <w:hideMark/>
          </w:tcPr>
          <w:p w14:paraId="36BA6160" w14:textId="282C8AAE" w:rsidR="00FE62D8" w:rsidRPr="00440088" w:rsidRDefault="00440088" w:rsidP="00461DA6">
            <w:pPr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OCT.</w:t>
            </w:r>
          </w:p>
        </w:tc>
        <w:tc>
          <w:tcPr>
            <w:tcW w:w="1900" w:type="dxa"/>
            <w:shd w:val="clear" w:color="auto" w:fill="83CAEB" w:themeFill="accent1" w:themeFillTint="66"/>
            <w:hideMark/>
          </w:tcPr>
          <w:p w14:paraId="273681BC" w14:textId="2BF352E5" w:rsidR="00FE62D8" w:rsidRPr="00FE62D8" w:rsidRDefault="00FE62D8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$7</w:t>
            </w:r>
            <w:r w:rsidR="00461DA6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67,436.85</w:t>
            </w:r>
          </w:p>
        </w:tc>
        <w:tc>
          <w:tcPr>
            <w:tcW w:w="2320" w:type="dxa"/>
            <w:shd w:val="clear" w:color="auto" w:fill="F6C5AC" w:themeFill="accent2" w:themeFillTint="66"/>
            <w:hideMark/>
          </w:tcPr>
          <w:p w14:paraId="711BD0C7" w14:textId="18EFB819" w:rsidR="00FE62D8" w:rsidRPr="00FE62D8" w:rsidRDefault="00FE62D8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$</w:t>
            </w:r>
            <w:r w:rsidR="00461DA6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724,262.26</w:t>
            </w:r>
          </w:p>
        </w:tc>
        <w:tc>
          <w:tcPr>
            <w:tcW w:w="1780" w:type="dxa"/>
            <w:shd w:val="clear" w:color="auto" w:fill="A5C9EB" w:themeFill="text2" w:themeFillTint="40"/>
            <w:hideMark/>
          </w:tcPr>
          <w:p w14:paraId="53254712" w14:textId="7A8907EF" w:rsidR="00FE62D8" w:rsidRPr="00FE62D8" w:rsidRDefault="00FE62D8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7C6DFB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-$</w:t>
            </w:r>
            <w:r w:rsidR="007C6DFB" w:rsidRPr="007C6DFB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43,174.59</w:t>
            </w:r>
          </w:p>
        </w:tc>
        <w:tc>
          <w:tcPr>
            <w:tcW w:w="2160" w:type="dxa"/>
            <w:shd w:val="clear" w:color="auto" w:fill="A5C9EB" w:themeFill="text2" w:themeFillTint="40"/>
          </w:tcPr>
          <w:p w14:paraId="58246337" w14:textId="4D0E4F56" w:rsidR="00FE62D8" w:rsidRPr="00FE62D8" w:rsidRDefault="00953079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3079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94%</w:t>
            </w:r>
          </w:p>
        </w:tc>
      </w:tr>
      <w:tr w:rsidR="00FE62D8" w:rsidRPr="00FE62D8" w14:paraId="590F0CAD" w14:textId="77777777" w:rsidTr="00F5449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5C9EB" w:themeFill="text2" w:themeFillTint="40"/>
            <w:hideMark/>
          </w:tcPr>
          <w:p w14:paraId="04B41FC3" w14:textId="06A25912" w:rsidR="00FE62D8" w:rsidRPr="00440088" w:rsidRDefault="00461DA6" w:rsidP="00461DA6">
            <w:pPr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40088"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NOV.</w:t>
            </w:r>
          </w:p>
        </w:tc>
        <w:tc>
          <w:tcPr>
            <w:tcW w:w="1900" w:type="dxa"/>
            <w:shd w:val="clear" w:color="auto" w:fill="83CAEB" w:themeFill="accent1" w:themeFillTint="66"/>
            <w:hideMark/>
          </w:tcPr>
          <w:p w14:paraId="0D333889" w14:textId="5A94BABB" w:rsidR="00FE62D8" w:rsidRPr="00FE62D8" w:rsidRDefault="00FE62D8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$</w:t>
            </w:r>
            <w:r w:rsidR="00461DA6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665,357.74</w:t>
            </w:r>
          </w:p>
        </w:tc>
        <w:tc>
          <w:tcPr>
            <w:tcW w:w="2320" w:type="dxa"/>
            <w:shd w:val="clear" w:color="auto" w:fill="F6C5AC" w:themeFill="accent2" w:themeFillTint="66"/>
            <w:hideMark/>
          </w:tcPr>
          <w:p w14:paraId="010C9832" w14:textId="47C7CADE" w:rsidR="00FE62D8" w:rsidRPr="00FE62D8" w:rsidRDefault="00FE62D8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$</w:t>
            </w:r>
            <w:r w:rsidR="00461DA6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691,428.54</w:t>
            </w:r>
          </w:p>
        </w:tc>
        <w:tc>
          <w:tcPr>
            <w:tcW w:w="1780" w:type="dxa"/>
            <w:shd w:val="clear" w:color="auto" w:fill="A5C9EB" w:themeFill="text2" w:themeFillTint="40"/>
            <w:hideMark/>
          </w:tcPr>
          <w:p w14:paraId="5B376106" w14:textId="3E72419B" w:rsidR="00FE62D8" w:rsidRPr="00FE62D8" w:rsidRDefault="00FE62D8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$</w:t>
            </w:r>
            <w:r w:rsidR="007C6DFB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26,070.80</w:t>
            </w:r>
          </w:p>
        </w:tc>
        <w:tc>
          <w:tcPr>
            <w:tcW w:w="2160" w:type="dxa"/>
            <w:shd w:val="clear" w:color="auto" w:fill="A5C9EB" w:themeFill="text2" w:themeFillTint="40"/>
          </w:tcPr>
          <w:p w14:paraId="7691F91F" w14:textId="2C4A27AC" w:rsidR="00FE62D8" w:rsidRPr="00FE62D8" w:rsidRDefault="00953079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96%</w:t>
            </w:r>
          </w:p>
        </w:tc>
      </w:tr>
      <w:tr w:rsidR="00FE62D8" w:rsidRPr="00FE62D8" w14:paraId="091C745B" w14:textId="77777777" w:rsidTr="00F5449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5C9EB" w:themeFill="text2" w:themeFillTint="40"/>
            <w:hideMark/>
          </w:tcPr>
          <w:p w14:paraId="316630C6" w14:textId="1819C50A" w:rsidR="00FE62D8" w:rsidRPr="00440088" w:rsidRDefault="00461DA6" w:rsidP="00461DA6">
            <w:pPr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40088">
              <w:rPr>
                <w:rFonts w:ascii="Aptos" w:eastAsia="Times New Roman" w:hAnsi="Aptos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DIC.</w:t>
            </w:r>
          </w:p>
        </w:tc>
        <w:tc>
          <w:tcPr>
            <w:tcW w:w="1900" w:type="dxa"/>
            <w:shd w:val="clear" w:color="auto" w:fill="83CAEB" w:themeFill="accent1" w:themeFillTint="66"/>
            <w:hideMark/>
          </w:tcPr>
          <w:p w14:paraId="3869F34C" w14:textId="0CFC9AE8" w:rsidR="00FE62D8" w:rsidRPr="00FE62D8" w:rsidRDefault="00FE62D8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$</w:t>
            </w:r>
            <w:r w:rsidR="00461DA6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604,110.17</w:t>
            </w:r>
          </w:p>
        </w:tc>
        <w:tc>
          <w:tcPr>
            <w:tcW w:w="2320" w:type="dxa"/>
            <w:shd w:val="clear" w:color="auto" w:fill="F6C5AC" w:themeFill="accent2" w:themeFillTint="66"/>
            <w:hideMark/>
          </w:tcPr>
          <w:p w14:paraId="53A77C81" w14:textId="3201EFA9" w:rsidR="00FE62D8" w:rsidRPr="00FE62D8" w:rsidRDefault="00FE62D8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$</w:t>
            </w:r>
            <w:r w:rsidR="00461DA6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es-MX"/>
                <w14:ligatures w14:val="none"/>
              </w:rPr>
              <w:t>640,096.20</w:t>
            </w:r>
          </w:p>
        </w:tc>
        <w:tc>
          <w:tcPr>
            <w:tcW w:w="1780" w:type="dxa"/>
            <w:shd w:val="clear" w:color="auto" w:fill="A5C9EB" w:themeFill="text2" w:themeFillTint="40"/>
            <w:hideMark/>
          </w:tcPr>
          <w:p w14:paraId="5B604F28" w14:textId="55FBCBC9" w:rsidR="00FE62D8" w:rsidRPr="00FE62D8" w:rsidRDefault="00FE62D8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E62D8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$</w:t>
            </w:r>
            <w:r w:rsidR="007C6DFB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35,986.03</w:t>
            </w:r>
          </w:p>
        </w:tc>
        <w:tc>
          <w:tcPr>
            <w:tcW w:w="2160" w:type="dxa"/>
            <w:shd w:val="clear" w:color="auto" w:fill="A5C9EB" w:themeFill="text2" w:themeFillTint="40"/>
          </w:tcPr>
          <w:p w14:paraId="18C999C2" w14:textId="02A46D90" w:rsidR="00FE62D8" w:rsidRPr="00FE62D8" w:rsidRDefault="00953079" w:rsidP="00FE6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4"/>
                <w:szCs w:val="24"/>
                <w:lang w:eastAsia="es-MX"/>
                <w14:ligatures w14:val="none"/>
              </w:rPr>
              <w:t>94%</w:t>
            </w:r>
          </w:p>
        </w:tc>
      </w:tr>
    </w:tbl>
    <w:p w14:paraId="6F04E019" w14:textId="77777777" w:rsidR="001C516A" w:rsidRPr="00FE62D8" w:rsidRDefault="001C516A" w:rsidP="00CF5E78">
      <w:pPr>
        <w:jc w:val="center"/>
        <w:rPr>
          <w:noProof/>
          <w:color w:val="C00000"/>
        </w:rPr>
      </w:pPr>
    </w:p>
    <w:p w14:paraId="635F0F08" w14:textId="3B3B77CB" w:rsidR="00C82BCA" w:rsidRPr="00CF5E78" w:rsidRDefault="00440088" w:rsidP="00CF5E78">
      <w:pPr>
        <w:jc w:val="center"/>
        <w:rPr>
          <w:b/>
          <w:bCs/>
          <w:color w:val="196B24" w:themeColor="accent3"/>
          <w:sz w:val="24"/>
          <w:szCs w:val="24"/>
        </w:rPr>
      </w:pPr>
      <w:r>
        <w:rPr>
          <w:noProof/>
        </w:rPr>
        <w:drawing>
          <wp:inline distT="0" distB="0" distL="0" distR="0" wp14:anchorId="736F7D23" wp14:editId="3BB30AC0">
            <wp:extent cx="4572000" cy="2743200"/>
            <wp:effectExtent l="0" t="0" r="0" b="0"/>
            <wp:docPr id="177879839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45FDDAA-719E-A2A0-733B-481F80E480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2B0E120" w14:textId="77777777" w:rsidR="00F56652" w:rsidRDefault="00F56652" w:rsidP="00546C14">
      <w:pPr>
        <w:jc w:val="both"/>
        <w:rPr>
          <w:rFonts w:ascii="Calibri" w:hAnsi="Calibri" w:cs="Calibri"/>
          <w:sz w:val="24"/>
          <w:szCs w:val="24"/>
        </w:rPr>
      </w:pPr>
    </w:p>
    <w:p w14:paraId="23817F39" w14:textId="77777777" w:rsidR="00EF779F" w:rsidRDefault="00EF779F" w:rsidP="00546C14">
      <w:pPr>
        <w:jc w:val="both"/>
        <w:rPr>
          <w:rFonts w:ascii="Calibri" w:hAnsi="Calibri" w:cs="Calibri"/>
          <w:sz w:val="24"/>
          <w:szCs w:val="24"/>
        </w:rPr>
      </w:pPr>
    </w:p>
    <w:p w14:paraId="0E55C470" w14:textId="77777777" w:rsidR="00440088" w:rsidRDefault="00440088" w:rsidP="00546C14">
      <w:pPr>
        <w:jc w:val="both"/>
        <w:rPr>
          <w:rFonts w:ascii="Calibri" w:hAnsi="Calibri" w:cs="Calibri"/>
          <w:sz w:val="24"/>
          <w:szCs w:val="24"/>
        </w:rPr>
      </w:pPr>
    </w:p>
    <w:p w14:paraId="24CBC677" w14:textId="77777777" w:rsidR="00440088" w:rsidRDefault="00440088" w:rsidP="00546C14">
      <w:pPr>
        <w:jc w:val="both"/>
        <w:rPr>
          <w:rFonts w:ascii="Calibri" w:hAnsi="Calibri" w:cs="Calibri"/>
          <w:sz w:val="24"/>
          <w:szCs w:val="24"/>
        </w:rPr>
      </w:pPr>
    </w:p>
    <w:p w14:paraId="76B95387" w14:textId="0B5DB3EA" w:rsidR="00546C14" w:rsidRPr="00546C14" w:rsidRDefault="00546C14" w:rsidP="00546C14">
      <w:pPr>
        <w:jc w:val="both"/>
        <w:rPr>
          <w:rFonts w:ascii="Calibri" w:hAnsi="Calibri" w:cs="Calibri"/>
          <w:sz w:val="24"/>
          <w:szCs w:val="24"/>
        </w:rPr>
      </w:pPr>
      <w:r w:rsidRPr="00546C14">
        <w:rPr>
          <w:rFonts w:ascii="Calibri" w:hAnsi="Calibri" w:cs="Calibri"/>
          <w:sz w:val="24"/>
          <w:szCs w:val="24"/>
        </w:rPr>
        <w:t>Es importante señalar que cada semana se dan a conocer en el DOF los porcentajes de subsidio o estímulo fiscal a los combustibles, por lo que se podrían esperar variaciones en los precios a lo largo del 2024. Los estímulos fiscales se anuncian cada viernes y tienen una vigencia de una semana a partir de su publicación en el DOF. Son un tipo de “descuento” para que las mercancías no aumenten más allá de la inflación. Así, un estímulo fiscal del 100% indica que los consumidores no pagarán el IEPS, mientras que un estímulo del 50%, dará como resultado que los consumidores paguen solo la mitad del gravamen.</w:t>
      </w:r>
    </w:p>
    <w:tbl>
      <w:tblPr>
        <w:tblpPr w:leftFromText="141" w:rightFromText="141" w:vertAnchor="text" w:horzAnchor="page" w:tblpX="6326" w:tblpY="425"/>
        <w:tblW w:w="5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031"/>
        <w:gridCol w:w="1254"/>
      </w:tblGrid>
      <w:tr w:rsidR="00474063" w:rsidRPr="008C0EC7" w14:paraId="6E28EACB" w14:textId="77777777" w:rsidTr="00386C65">
        <w:trPr>
          <w:trHeight w:val="284"/>
        </w:trPr>
        <w:tc>
          <w:tcPr>
            <w:tcW w:w="704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000000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3FCB47B4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748AA4AC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2023</w:t>
            </w:r>
          </w:p>
        </w:tc>
        <w:tc>
          <w:tcPr>
            <w:tcW w:w="228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05DC43FD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2024</w:t>
            </w:r>
          </w:p>
        </w:tc>
      </w:tr>
      <w:tr w:rsidR="008C0EC7" w:rsidRPr="008C0EC7" w14:paraId="1C18CD13" w14:textId="77777777" w:rsidTr="00386C65">
        <w:trPr>
          <w:trHeight w:val="270"/>
        </w:trPr>
        <w:tc>
          <w:tcPr>
            <w:tcW w:w="704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000000"/>
              <w:right w:val="single" w:sz="4" w:space="0" w:color="C00000"/>
            </w:tcBorders>
            <w:vAlign w:val="center"/>
            <w:hideMark/>
          </w:tcPr>
          <w:p w14:paraId="32C45C31" w14:textId="77777777" w:rsidR="008C0EC7" w:rsidRPr="008C0EC7" w:rsidRDefault="008C0EC7" w:rsidP="008C0E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321193C0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DIESEL</w:t>
            </w:r>
          </w:p>
        </w:tc>
        <w:tc>
          <w:tcPr>
            <w:tcW w:w="228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675DFF52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DIESEL</w:t>
            </w:r>
          </w:p>
        </w:tc>
      </w:tr>
      <w:tr w:rsidR="00F56652" w:rsidRPr="008C0EC7" w14:paraId="658B1B87" w14:textId="77777777" w:rsidTr="00386C65">
        <w:trPr>
          <w:trHeight w:val="2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7E801509" w14:textId="77777777" w:rsidR="008C0EC7" w:rsidRPr="008C0EC7" w:rsidRDefault="008C0EC7" w:rsidP="008C0E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12B3F0E2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LITROS 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1C2CD643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COSTO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7F2478BD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LITRO</w:t>
            </w:r>
          </w:p>
        </w:tc>
        <w:tc>
          <w:tcPr>
            <w:tcW w:w="12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3538F7E7" w14:textId="77777777" w:rsidR="008C0EC7" w:rsidRPr="008C0EC7" w:rsidRDefault="008C0EC7" w:rsidP="008C0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COSTO</w:t>
            </w:r>
          </w:p>
        </w:tc>
      </w:tr>
      <w:tr w:rsidR="00F56652" w:rsidRPr="008C0EC7" w14:paraId="77DECCA0" w14:textId="77777777" w:rsidTr="00F5449A">
        <w:trPr>
          <w:trHeight w:val="270"/>
        </w:trPr>
        <w:tc>
          <w:tcPr>
            <w:tcW w:w="70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24ABF63E" w14:textId="36995DF7" w:rsidR="008C0EC7" w:rsidRPr="008C0EC7" w:rsidRDefault="00386C65" w:rsidP="008C0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OCT.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74126716" w14:textId="7681B1A4" w:rsidR="008C0EC7" w:rsidRPr="008C0EC7" w:rsidRDefault="00386C65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13,076.89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0109AA89" w14:textId="102B2474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386C6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318,927.98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6AE000D7" w14:textId="2DE59AC9" w:rsidR="008C0EC7" w:rsidRPr="008C0EC7" w:rsidRDefault="00386C65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10,114.35</w:t>
            </w:r>
          </w:p>
        </w:tc>
        <w:tc>
          <w:tcPr>
            <w:tcW w:w="12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2E8D255A" w14:textId="1A0CC009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386C6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261,841.45</w:t>
            </w:r>
          </w:p>
        </w:tc>
      </w:tr>
      <w:tr w:rsidR="00F56652" w:rsidRPr="008C0EC7" w14:paraId="77A86DBC" w14:textId="77777777" w:rsidTr="00F5449A">
        <w:trPr>
          <w:trHeight w:val="270"/>
        </w:trPr>
        <w:tc>
          <w:tcPr>
            <w:tcW w:w="70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395D1BA6" w14:textId="5B8D24B5" w:rsidR="008C0EC7" w:rsidRPr="008C0EC7" w:rsidRDefault="00386C65" w:rsidP="008C0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NOV.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43FA7D28" w14:textId="4D547EDB" w:rsidR="008C0EC7" w:rsidRPr="008C0EC7" w:rsidRDefault="00386C65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9,617.99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7BA036CD" w14:textId="765245BE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386C6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231,830.93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4C635D6B" w14:textId="7324DBC8" w:rsidR="008C0EC7" w:rsidRPr="008C0EC7" w:rsidRDefault="00386C65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9,188.29</w:t>
            </w:r>
          </w:p>
        </w:tc>
        <w:tc>
          <w:tcPr>
            <w:tcW w:w="12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1B03B0F5" w14:textId="6126EB03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386C6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238,436.35</w:t>
            </w:r>
          </w:p>
        </w:tc>
      </w:tr>
      <w:tr w:rsidR="00F56652" w:rsidRPr="008C0EC7" w14:paraId="41248D52" w14:textId="77777777" w:rsidTr="00F5449A">
        <w:trPr>
          <w:trHeight w:val="270"/>
        </w:trPr>
        <w:tc>
          <w:tcPr>
            <w:tcW w:w="70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1386B11F" w14:textId="54BC70B1" w:rsidR="008C0EC7" w:rsidRPr="008C0EC7" w:rsidRDefault="00386C65" w:rsidP="008C0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DIC.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3145B46D" w14:textId="1AD9C3C8" w:rsidR="008C0EC7" w:rsidRPr="008C0EC7" w:rsidRDefault="00386C65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18,446.47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5A277BFC" w14:textId="0715DEDE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386C6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419,054.90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37CC49D7" w14:textId="4C233C53" w:rsidR="008C0EC7" w:rsidRPr="008C0EC7" w:rsidRDefault="00386C65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7,541.104</w:t>
            </w:r>
          </w:p>
        </w:tc>
        <w:tc>
          <w:tcPr>
            <w:tcW w:w="12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33398809" w14:textId="7321D1AB" w:rsidR="008C0EC7" w:rsidRPr="008C0EC7" w:rsidRDefault="008C0EC7" w:rsidP="008C0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0EC7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386C6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195,691.65</w:t>
            </w:r>
          </w:p>
        </w:tc>
      </w:tr>
    </w:tbl>
    <w:tbl>
      <w:tblPr>
        <w:tblpPr w:leftFromText="141" w:rightFromText="141" w:vertAnchor="text" w:horzAnchor="page" w:tblpX="399" w:tblpY="427"/>
        <w:tblW w:w="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1143"/>
        <w:gridCol w:w="1276"/>
        <w:gridCol w:w="1143"/>
        <w:gridCol w:w="1254"/>
      </w:tblGrid>
      <w:tr w:rsidR="00F56652" w:rsidRPr="00EF2E5F" w14:paraId="4922D755" w14:textId="77777777" w:rsidTr="00F56652">
        <w:trPr>
          <w:trHeight w:val="241"/>
        </w:trPr>
        <w:tc>
          <w:tcPr>
            <w:tcW w:w="906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40F73823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67316A68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bottom"/>
            <w:hideMark/>
          </w:tcPr>
          <w:p w14:paraId="6DCC13DC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2024</w:t>
            </w:r>
          </w:p>
        </w:tc>
      </w:tr>
      <w:tr w:rsidR="00F56652" w:rsidRPr="00EF2E5F" w14:paraId="238729A7" w14:textId="77777777" w:rsidTr="00F56652">
        <w:trPr>
          <w:trHeight w:val="229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C00000"/>
              <w:bottom w:val="single" w:sz="4" w:space="0" w:color="auto"/>
              <w:right w:val="single" w:sz="4" w:space="0" w:color="C00000"/>
            </w:tcBorders>
            <w:vAlign w:val="center"/>
            <w:hideMark/>
          </w:tcPr>
          <w:p w14:paraId="58ABADD2" w14:textId="77777777" w:rsidR="00F56652" w:rsidRPr="00EF2E5F" w:rsidRDefault="00F56652" w:rsidP="00F566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4D38383D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MAGNA </w:t>
            </w:r>
          </w:p>
        </w:tc>
        <w:tc>
          <w:tcPr>
            <w:tcW w:w="22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00D26C08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MAGNA</w:t>
            </w:r>
          </w:p>
        </w:tc>
      </w:tr>
      <w:tr w:rsidR="00F56652" w:rsidRPr="00EF2E5F" w14:paraId="38502AE3" w14:textId="77777777" w:rsidTr="00F56652">
        <w:trPr>
          <w:trHeight w:val="229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1355AEBC" w14:textId="77777777" w:rsidR="00F56652" w:rsidRPr="00EF2E5F" w:rsidRDefault="00F56652" w:rsidP="00F566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0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591D10B7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LITROS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4B171755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COSTO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4FE6E7C0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LITROS</w:t>
            </w:r>
          </w:p>
        </w:tc>
        <w:tc>
          <w:tcPr>
            <w:tcW w:w="12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E8E8E8"/>
            <w:noWrap/>
            <w:vAlign w:val="center"/>
            <w:hideMark/>
          </w:tcPr>
          <w:p w14:paraId="6855A2B7" w14:textId="77777777" w:rsidR="00F56652" w:rsidRPr="00EF2E5F" w:rsidRDefault="00F56652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COSTO</w:t>
            </w:r>
          </w:p>
        </w:tc>
      </w:tr>
      <w:tr w:rsidR="00F56652" w:rsidRPr="00EF2E5F" w14:paraId="39894670" w14:textId="77777777" w:rsidTr="00F5449A">
        <w:trPr>
          <w:trHeight w:val="229"/>
        </w:trPr>
        <w:tc>
          <w:tcPr>
            <w:tcW w:w="9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768A0939" w14:textId="7689B679" w:rsidR="00F56652" w:rsidRPr="00EF2E5F" w:rsidRDefault="00386C65" w:rsidP="00F5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OCT.</w:t>
            </w:r>
          </w:p>
        </w:tc>
        <w:tc>
          <w:tcPr>
            <w:tcW w:w="10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2890C9D8" w14:textId="65560573" w:rsidR="00F56652" w:rsidRPr="00EF2E5F" w:rsidRDefault="00386C65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20,119.53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559C19F1" w14:textId="66652F0B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386C6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448,508.87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609C0E69" w14:textId="6B2CEC2C" w:rsidR="00F56652" w:rsidRPr="00EF2E5F" w:rsidRDefault="00386C65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18,825.34</w:t>
            </w:r>
          </w:p>
        </w:tc>
        <w:tc>
          <w:tcPr>
            <w:tcW w:w="12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83CAEB" w:themeFill="accent1" w:themeFillTint="66"/>
            <w:noWrap/>
            <w:vAlign w:val="center"/>
            <w:hideMark/>
          </w:tcPr>
          <w:p w14:paraId="5DE1C682" w14:textId="73D8D0FC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386C6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462,420.81</w:t>
            </w:r>
          </w:p>
        </w:tc>
      </w:tr>
      <w:tr w:rsidR="00F56652" w:rsidRPr="00EF2E5F" w14:paraId="57332BDB" w14:textId="77777777" w:rsidTr="00F5449A">
        <w:trPr>
          <w:trHeight w:val="229"/>
        </w:trPr>
        <w:tc>
          <w:tcPr>
            <w:tcW w:w="9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62600F07" w14:textId="6DB68233" w:rsidR="00F56652" w:rsidRPr="00EF2E5F" w:rsidRDefault="00386C65" w:rsidP="00F5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NOV.</w:t>
            </w:r>
          </w:p>
        </w:tc>
        <w:tc>
          <w:tcPr>
            <w:tcW w:w="10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1A2D5F4E" w14:textId="5B636611" w:rsidR="00F56652" w:rsidRPr="00EF2E5F" w:rsidRDefault="00386C65" w:rsidP="00F56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19,309.049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59ADEC0E" w14:textId="49DC60EC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386C6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433,526.81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0045C230" w14:textId="422D9EAB" w:rsidR="00F56652" w:rsidRPr="00EF2E5F" w:rsidRDefault="00386C65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18,376.96</w:t>
            </w:r>
          </w:p>
        </w:tc>
        <w:tc>
          <w:tcPr>
            <w:tcW w:w="12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6C5AC" w:themeFill="accent2" w:themeFillTint="66"/>
            <w:noWrap/>
            <w:vAlign w:val="center"/>
            <w:hideMark/>
          </w:tcPr>
          <w:p w14:paraId="0F374A89" w14:textId="6928B1C9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386C6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452,992.19</w:t>
            </w:r>
          </w:p>
        </w:tc>
      </w:tr>
      <w:tr w:rsidR="00F56652" w:rsidRPr="00EF2E5F" w14:paraId="1A5E44AC" w14:textId="77777777" w:rsidTr="00F5449A">
        <w:trPr>
          <w:trHeight w:val="229"/>
        </w:trPr>
        <w:tc>
          <w:tcPr>
            <w:tcW w:w="9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612660B5" w14:textId="320F51F9" w:rsidR="00F56652" w:rsidRPr="00EF2E5F" w:rsidRDefault="00386C65" w:rsidP="00F56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DIC</w:t>
            </w:r>
            <w:r w:rsidR="00F5449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0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1858DE3E" w14:textId="6B2FEE3A" w:rsidR="00F56652" w:rsidRPr="00EF2E5F" w:rsidRDefault="00440088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7,522.575</w:t>
            </w: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2452A5E0" w14:textId="5BA888C4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44008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185,055.27</w:t>
            </w:r>
          </w:p>
        </w:tc>
        <w:tc>
          <w:tcPr>
            <w:tcW w:w="10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1F0C7" w:themeFill="accent3" w:themeFillTint="33"/>
            <w:noWrap/>
            <w:vAlign w:val="center"/>
            <w:hideMark/>
          </w:tcPr>
          <w:p w14:paraId="11B24271" w14:textId="532B60CE" w:rsidR="00F56652" w:rsidRPr="00EF2E5F" w:rsidRDefault="00386C65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18,028.582</w:t>
            </w:r>
          </w:p>
        </w:tc>
        <w:tc>
          <w:tcPr>
            <w:tcW w:w="12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auto"/>
            </w:tcBorders>
            <w:shd w:val="clear" w:color="auto" w:fill="C1F0C7" w:themeFill="accent3" w:themeFillTint="33"/>
            <w:noWrap/>
            <w:vAlign w:val="center"/>
            <w:hideMark/>
          </w:tcPr>
          <w:p w14:paraId="7EABA823" w14:textId="46E5E38C" w:rsidR="00F56652" w:rsidRPr="00EF2E5F" w:rsidRDefault="00F56652" w:rsidP="00F566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EF2E5F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$</w:t>
            </w:r>
            <w:r w:rsidR="00386C6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444,404.55</w:t>
            </w:r>
          </w:p>
        </w:tc>
      </w:tr>
    </w:tbl>
    <w:p w14:paraId="0C90593D" w14:textId="15285956" w:rsidR="00546C14" w:rsidRPr="00FE62D8" w:rsidRDefault="001C516A" w:rsidP="001C516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C00000"/>
          <w:kern w:val="0"/>
          <w:sz w:val="24"/>
          <w:szCs w:val="24"/>
          <w:lang w:eastAsia="es-MX"/>
          <w14:ligatures w14:val="none"/>
        </w:rPr>
      </w:pPr>
      <w:r>
        <w:rPr>
          <w:rFonts w:ascii="Calibri" w:eastAsia="Times New Roman" w:hAnsi="Calibri" w:cs="Calibri"/>
          <w:color w:val="191919"/>
          <w:kern w:val="0"/>
          <w:sz w:val="24"/>
          <w:szCs w:val="24"/>
          <w:lang w:eastAsia="es-MX"/>
          <w14:ligatures w14:val="none"/>
        </w:rPr>
        <w:t xml:space="preserve">            </w:t>
      </w:r>
      <w:r w:rsidR="00137A17" w:rsidRPr="00FE62D8">
        <w:rPr>
          <w:rFonts w:ascii="Calibri" w:eastAsia="Times New Roman" w:hAnsi="Calibri" w:cs="Calibri"/>
          <w:b/>
          <w:bCs/>
          <w:color w:val="C00000"/>
          <w:kern w:val="0"/>
          <w:sz w:val="24"/>
          <w:szCs w:val="24"/>
          <w:lang w:eastAsia="es-MX"/>
          <w14:ligatures w14:val="none"/>
        </w:rPr>
        <w:t>COMPARATIVA DE GASTO DE COMBUSTIBLE POR MES 2023-2024.</w:t>
      </w:r>
    </w:p>
    <w:p w14:paraId="22B9ECC8" w14:textId="58A9A7B2" w:rsidR="00137A17" w:rsidRDefault="00F5449A" w:rsidP="00137A1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b/>
          <w:bCs/>
          <w:color w:val="3A7C22" w:themeColor="accent6" w:themeShade="BF"/>
          <w:kern w:val="0"/>
          <w:sz w:val="24"/>
          <w:szCs w:val="24"/>
          <w:lang w:eastAsia="es-MX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933EC3" wp14:editId="23AA4124">
            <wp:simplePos x="0" y="0"/>
            <wp:positionH relativeFrom="column">
              <wp:posOffset>-831418</wp:posOffset>
            </wp:positionH>
            <wp:positionV relativeFrom="paragraph">
              <wp:posOffset>1101877</wp:posOffset>
            </wp:positionV>
            <wp:extent cx="3657600" cy="2245589"/>
            <wp:effectExtent l="0" t="0" r="0" b="2540"/>
            <wp:wrapNone/>
            <wp:docPr id="72909106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F23438A-D12B-2C37-FCF6-28C72E734D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B793A7" wp14:editId="1ABB9BD8">
            <wp:simplePos x="0" y="0"/>
            <wp:positionH relativeFrom="page">
              <wp:posOffset>3942894</wp:posOffset>
            </wp:positionH>
            <wp:positionV relativeFrom="paragraph">
              <wp:posOffset>1094562</wp:posOffset>
            </wp:positionV>
            <wp:extent cx="3599078" cy="2230755"/>
            <wp:effectExtent l="0" t="0" r="1905" b="17145"/>
            <wp:wrapNone/>
            <wp:docPr id="41810633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8EE65E4-EB96-85FF-7E01-9889F2C117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</w:p>
    <w:p w14:paraId="2ACFB462" w14:textId="0E0BC76E" w:rsidR="00FB744E" w:rsidRDefault="00FB744E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noProof/>
        </w:rPr>
      </w:pPr>
    </w:p>
    <w:p w14:paraId="1FDC66F7" w14:textId="41331036" w:rsidR="00FB744E" w:rsidRDefault="00FB744E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7A5CFD15" w14:textId="1563FF69" w:rsidR="008C0EC7" w:rsidRDefault="008C0EC7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505FA9A1" w14:textId="72317CE7" w:rsidR="008C0EC7" w:rsidRDefault="008C0EC7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45B8D45F" w14:textId="2126BE07" w:rsidR="008C0EC7" w:rsidRDefault="008C0EC7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55A1854F" w14:textId="1FA3F332" w:rsidR="008C0EC7" w:rsidRDefault="008C0EC7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24409661" w14:textId="77777777" w:rsidR="00EF2E5F" w:rsidRDefault="00EF2E5F" w:rsidP="00FE62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43BCC340" w14:textId="62AB865C" w:rsidR="001F18A1" w:rsidRDefault="00474063" w:rsidP="00FE62D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  <w:r w:rsidRPr="00BD3064"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>Finalmente,</w:t>
      </w:r>
      <w:r w:rsidR="00BD3064" w:rsidRPr="00BD3064"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 xml:space="preserve"> el gasto del combustible dentro del gobierno municipal </w:t>
      </w:r>
      <w:r w:rsidR="004E66FA"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 xml:space="preserve">se ha visto afectado tanto por el incremento que se a generado en el precio de combustible que día a día aumenta y no se mantiene en un solo </w:t>
      </w:r>
      <w:r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>precio, y</w:t>
      </w:r>
      <w:r w:rsidR="004E66FA"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 xml:space="preserve"> se está trabajando a marchas forzadas en las comunidades para dar una atención de calidad y en ocasiones las maquinas por el trabajo que realizan se requiere generar mayor gasto de combustible.</w:t>
      </w:r>
    </w:p>
    <w:p w14:paraId="65B74D90" w14:textId="77777777" w:rsidR="001F18A1" w:rsidRDefault="001F18A1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bookmarkEnd w:id="0"/>
    <w:p w14:paraId="69B557A7" w14:textId="5BD6103D" w:rsidR="00CF5E78" w:rsidRPr="00CF5E78" w:rsidRDefault="00CF5E78" w:rsidP="00CF5E78">
      <w:pPr>
        <w:tabs>
          <w:tab w:val="left" w:pos="2475"/>
        </w:tabs>
        <w:rPr>
          <w:sz w:val="24"/>
          <w:szCs w:val="24"/>
        </w:rPr>
      </w:pPr>
    </w:p>
    <w:sectPr w:rsidR="00CF5E78" w:rsidRPr="00CF5E7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640B8" w14:textId="77777777" w:rsidR="003D3F71" w:rsidRDefault="003D3F71" w:rsidP="00F56652">
      <w:pPr>
        <w:spacing w:after="0" w:line="240" w:lineRule="auto"/>
      </w:pPr>
      <w:r>
        <w:separator/>
      </w:r>
    </w:p>
  </w:endnote>
  <w:endnote w:type="continuationSeparator" w:id="0">
    <w:p w14:paraId="45FCCFAB" w14:textId="77777777" w:rsidR="003D3F71" w:rsidRDefault="003D3F71" w:rsidP="00F5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06C88" w14:textId="77777777" w:rsidR="003D3F71" w:rsidRDefault="003D3F71" w:rsidP="00F56652">
      <w:pPr>
        <w:spacing w:after="0" w:line="240" w:lineRule="auto"/>
      </w:pPr>
      <w:r>
        <w:separator/>
      </w:r>
    </w:p>
  </w:footnote>
  <w:footnote w:type="continuationSeparator" w:id="0">
    <w:p w14:paraId="46FA550A" w14:textId="77777777" w:rsidR="003D3F71" w:rsidRDefault="003D3F71" w:rsidP="00F5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2DA1" w14:textId="02916C9D" w:rsidR="00F56652" w:rsidRDefault="00F56652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0066DA" wp14:editId="2DC156C8">
          <wp:simplePos x="0" y="0"/>
          <wp:positionH relativeFrom="column">
            <wp:posOffset>-889635</wp:posOffset>
          </wp:positionH>
          <wp:positionV relativeFrom="paragraph">
            <wp:posOffset>-209550</wp:posOffset>
          </wp:positionV>
          <wp:extent cx="2038350" cy="1112520"/>
          <wp:effectExtent l="0" t="0" r="0" b="0"/>
          <wp:wrapNone/>
          <wp:docPr id="2" name="Imagen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EEA952C-4076-480F-8899-B6200FD9D9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9EEA952C-4076-480F-8899-B6200FD9D9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620"/>
                  <a:stretch/>
                </pic:blipFill>
                <pic:spPr>
                  <a:xfrm>
                    <a:off x="0" y="0"/>
                    <a:ext cx="2038350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D3AF9" wp14:editId="35098B40">
              <wp:simplePos x="0" y="0"/>
              <wp:positionH relativeFrom="column">
                <wp:posOffset>2933527</wp:posOffset>
              </wp:positionH>
              <wp:positionV relativeFrom="paragraph">
                <wp:posOffset>-211650</wp:posOffset>
              </wp:positionV>
              <wp:extent cx="3419475" cy="611470"/>
              <wp:effectExtent l="0" t="0" r="0" b="0"/>
              <wp:wrapNone/>
              <wp:docPr id="62416824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61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A62B7" w14:textId="77777777" w:rsidR="00F56652" w:rsidRDefault="00F56652" w:rsidP="00F56652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926015">
                            <w:rPr>
                              <w:b/>
                              <w:bCs/>
                            </w:rPr>
                            <w:t>SUBDIRECCION DE PARQUE VEHICULAR</w:t>
                          </w:r>
                        </w:p>
                        <w:p w14:paraId="6839DF7E" w14:textId="77777777" w:rsidR="00F56652" w:rsidRPr="00926015" w:rsidRDefault="00F56652" w:rsidP="00F56652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COORDINACION DE COMBUSTIBLES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D3A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1pt;margin-top:-16.65pt;width:269.2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" filled="f" stroked="f">
              <v:textbox>
                <w:txbxContent>
                  <w:p w14:paraId="4DCA62B7" w14:textId="77777777" w:rsidR="00F56652" w:rsidRDefault="00F56652" w:rsidP="00F56652">
                    <w:pPr>
                      <w:spacing w:after="0"/>
                      <w:rPr>
                        <w:b/>
                        <w:bCs/>
                      </w:rPr>
                    </w:pPr>
                    <w:r w:rsidRPr="00926015">
                      <w:rPr>
                        <w:b/>
                        <w:bCs/>
                      </w:rPr>
                      <w:t>SUBDIRECCION DE PARQUE VEHICULAR</w:t>
                    </w:r>
                  </w:p>
                  <w:p w14:paraId="6839DF7E" w14:textId="77777777" w:rsidR="00F56652" w:rsidRPr="00926015" w:rsidRDefault="00F56652" w:rsidP="00F56652">
                    <w:pPr>
                      <w:spacing w:after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COORDINACION DE COMBUSTIBLES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2865"/>
    <w:multiLevelType w:val="multilevel"/>
    <w:tmpl w:val="A63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40007"/>
    <w:multiLevelType w:val="multilevel"/>
    <w:tmpl w:val="6698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646435">
    <w:abstractNumId w:val="0"/>
  </w:num>
  <w:num w:numId="2" w16cid:durableId="147390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15"/>
    <w:rsid w:val="00085104"/>
    <w:rsid w:val="000921D1"/>
    <w:rsid w:val="000A09BA"/>
    <w:rsid w:val="001068D7"/>
    <w:rsid w:val="00107BD4"/>
    <w:rsid w:val="00137A17"/>
    <w:rsid w:val="001C516A"/>
    <w:rsid w:val="001D4575"/>
    <w:rsid w:val="001E0CB4"/>
    <w:rsid w:val="001F18A1"/>
    <w:rsid w:val="00295FE8"/>
    <w:rsid w:val="00386C65"/>
    <w:rsid w:val="003D3F71"/>
    <w:rsid w:val="003E3814"/>
    <w:rsid w:val="00440088"/>
    <w:rsid w:val="00461DA6"/>
    <w:rsid w:val="00474063"/>
    <w:rsid w:val="004E66FA"/>
    <w:rsid w:val="00516292"/>
    <w:rsid w:val="00546C14"/>
    <w:rsid w:val="00550FC3"/>
    <w:rsid w:val="005E380B"/>
    <w:rsid w:val="006110D3"/>
    <w:rsid w:val="006131FF"/>
    <w:rsid w:val="0067555C"/>
    <w:rsid w:val="006D6262"/>
    <w:rsid w:val="007103B9"/>
    <w:rsid w:val="007C6DFB"/>
    <w:rsid w:val="007F0A07"/>
    <w:rsid w:val="00824C2B"/>
    <w:rsid w:val="00837F4E"/>
    <w:rsid w:val="00880910"/>
    <w:rsid w:val="008A5564"/>
    <w:rsid w:val="008C0EC7"/>
    <w:rsid w:val="00916CB4"/>
    <w:rsid w:val="00926015"/>
    <w:rsid w:val="00953079"/>
    <w:rsid w:val="00AA35DD"/>
    <w:rsid w:val="00AC4F3B"/>
    <w:rsid w:val="00BD3064"/>
    <w:rsid w:val="00C41064"/>
    <w:rsid w:val="00C71B0C"/>
    <w:rsid w:val="00C82BCA"/>
    <w:rsid w:val="00C8714C"/>
    <w:rsid w:val="00CF2435"/>
    <w:rsid w:val="00CF5E78"/>
    <w:rsid w:val="00D261B9"/>
    <w:rsid w:val="00D57E3A"/>
    <w:rsid w:val="00D62580"/>
    <w:rsid w:val="00D835FE"/>
    <w:rsid w:val="00DD42B4"/>
    <w:rsid w:val="00E02A61"/>
    <w:rsid w:val="00E02DB2"/>
    <w:rsid w:val="00E15F27"/>
    <w:rsid w:val="00E96B10"/>
    <w:rsid w:val="00EF2E5F"/>
    <w:rsid w:val="00EF779F"/>
    <w:rsid w:val="00F5449A"/>
    <w:rsid w:val="00F56652"/>
    <w:rsid w:val="00FB744E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9E85"/>
  <w15:chartTrackingRefBased/>
  <w15:docId w15:val="{A51141B1-2AE1-41C1-936F-8E2A110B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6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6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6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6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6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60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60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60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60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60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60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60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60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60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60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6015"/>
    <w:rPr>
      <w:b/>
      <w:bCs/>
      <w:smallCaps/>
      <w:color w:val="0F4761" w:themeColor="accent1" w:themeShade="BF"/>
      <w:spacing w:val="5"/>
    </w:rPr>
  </w:style>
  <w:style w:type="table" w:styleId="Tablaconcuadrcula5oscura-nfasis1">
    <w:name w:val="Grid Table 5 Dark Accent 1"/>
    <w:basedOn w:val="Tablanormal"/>
    <w:uiPriority w:val="50"/>
    <w:rsid w:val="006110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C82BC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2BC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56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652"/>
  </w:style>
  <w:style w:type="paragraph" w:styleId="Piedepgina">
    <w:name w:val="footer"/>
    <w:basedOn w:val="Normal"/>
    <w:link w:val="PiedepginaCar"/>
    <w:uiPriority w:val="99"/>
    <w:unhideWhenUsed/>
    <w:rsid w:val="00F56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652"/>
  </w:style>
  <w:style w:type="table" w:styleId="Tablaconcuadrcula1clara">
    <w:name w:val="Grid Table 1 Light"/>
    <w:basedOn w:val="Tablanormal"/>
    <w:uiPriority w:val="46"/>
    <w:rsid w:val="004400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soreria-100\Documents\Subdireccion%20de%20parque%20vehicular%202023\COMBUSTIBLES%202023\COMBUSTIBLE%20POR%20MES%20COMPLET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soreria-100\Documents\Subdireccion%20de%20parque%20vehicular%202023\COMBUSTIBLES%202023\COMBUSTIBLE%20POR%20MES%20COMPLET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soreria-100\Documents\Subdireccion%20de%20parque%20vehicular%202023\COMBUSTIBLES%202023\COMBUSTIBLE%20POR%20MES%20COMPLET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MX" sz="1800" b="1">
                <a:effectLst/>
              </a:rPr>
              <a:t>COMPARATIVA</a:t>
            </a:r>
            <a:endParaRPr lang="es-MX" sz="18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Hoja5!$B$9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Hoja5!$A$10:$A$12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Hoja5!$B$10:$B$12</c:f>
              <c:numCache>
                <c:formatCode>"$"#,##0.00_);[Red]\("$"#,##0.00\)</c:formatCode>
                <c:ptCount val="3"/>
                <c:pt idx="0">
                  <c:v>767436.85</c:v>
                </c:pt>
                <c:pt idx="1">
                  <c:v>665357.74</c:v>
                </c:pt>
                <c:pt idx="2">
                  <c:v>604110.17000000004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D4-4E61-B821-C8E18FE8FB79}"/>
            </c:ext>
          </c:extLst>
        </c:ser>
        <c:ser>
          <c:idx val="1"/>
          <c:order val="1"/>
          <c:tx>
            <c:strRef>
              <c:f>Hoja5!$C$9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Hoja5!$A$10:$A$12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Hoja5!$C$10:$C$12</c:f>
              <c:numCache>
                <c:formatCode>"$"#,##0.00_);[Red]\("$"#,##0.00\)</c:formatCode>
                <c:ptCount val="3"/>
                <c:pt idx="0">
                  <c:v>724262.26</c:v>
                </c:pt>
                <c:pt idx="1">
                  <c:v>691428.54</c:v>
                </c:pt>
                <c:pt idx="2">
                  <c:v>640096.19999999995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D4-4E61-B821-C8E18FE8FB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8238111"/>
        <c:axId val="438239071"/>
        <c:axId val="0"/>
      </c:bar3DChart>
      <c:catAx>
        <c:axId val="438238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8239071"/>
        <c:crosses val="autoZero"/>
        <c:auto val="1"/>
        <c:lblAlgn val="ctr"/>
        <c:lblOffset val="100"/>
        <c:noMultiLvlLbl val="0"/>
      </c:catAx>
      <c:valAx>
        <c:axId val="43823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8238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Diferencia de consumo y pago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Hoja5!$A$30</c:f>
              <c:strCache>
                <c:ptCount val="1"/>
                <c:pt idx="0">
                  <c:v>OCT.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Hoja5!$B$27:$E$29</c:f>
              <c:multiLvlStrCache>
                <c:ptCount val="4"/>
                <c:lvl>
                  <c:pt idx="0">
                    <c:v>LITROS</c:v>
                  </c:pt>
                  <c:pt idx="1">
                    <c:v>COSTO</c:v>
                  </c:pt>
                  <c:pt idx="2">
                    <c:v>LITROS</c:v>
                  </c:pt>
                  <c:pt idx="3">
                    <c:v>COSTO</c:v>
                  </c:pt>
                </c:lvl>
                <c:lvl>
                  <c:pt idx="0">
                    <c:v>MAGNA </c:v>
                  </c:pt>
                  <c:pt idx="2">
                    <c:v>MAGNA</c:v>
                  </c:pt>
                </c:lvl>
                <c:lvl>
                  <c:pt idx="0">
                    <c:v>2023</c:v>
                  </c:pt>
                  <c:pt idx="2">
                    <c:v>2024</c:v>
                  </c:pt>
                </c:lvl>
              </c:multiLvlStrCache>
            </c:multiLvlStrRef>
          </c:cat>
          <c:val>
            <c:numRef>
              <c:f>Hoja5!$B$30:$E$30</c:f>
              <c:numCache>
                <c:formatCode>"$"#,##0.00_);[Red]\("$"#,##0.00\)</c:formatCode>
                <c:ptCount val="4"/>
                <c:pt idx="0" formatCode="#,##0.00">
                  <c:v>20119.53</c:v>
                </c:pt>
                <c:pt idx="1">
                  <c:v>448508.87</c:v>
                </c:pt>
                <c:pt idx="2" formatCode="#,##0.00">
                  <c:v>18825.34</c:v>
                </c:pt>
                <c:pt idx="3">
                  <c:v>462420.81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3F-4D38-84B7-14C6D5A63CB7}"/>
            </c:ext>
          </c:extLst>
        </c:ser>
        <c:ser>
          <c:idx val="1"/>
          <c:order val="1"/>
          <c:tx>
            <c:strRef>
              <c:f>Hoja5!$A$31</c:f>
              <c:strCache>
                <c:ptCount val="1"/>
                <c:pt idx="0">
                  <c:v>NOV.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Hoja5!$B$27:$E$29</c:f>
              <c:multiLvlStrCache>
                <c:ptCount val="4"/>
                <c:lvl>
                  <c:pt idx="0">
                    <c:v>LITROS</c:v>
                  </c:pt>
                  <c:pt idx="1">
                    <c:v>COSTO</c:v>
                  </c:pt>
                  <c:pt idx="2">
                    <c:v>LITROS</c:v>
                  </c:pt>
                  <c:pt idx="3">
                    <c:v>COSTO</c:v>
                  </c:pt>
                </c:lvl>
                <c:lvl>
                  <c:pt idx="0">
                    <c:v>MAGNA </c:v>
                  </c:pt>
                  <c:pt idx="2">
                    <c:v>MAGNA</c:v>
                  </c:pt>
                </c:lvl>
                <c:lvl>
                  <c:pt idx="0">
                    <c:v>2023</c:v>
                  </c:pt>
                  <c:pt idx="2">
                    <c:v>2024</c:v>
                  </c:pt>
                </c:lvl>
              </c:multiLvlStrCache>
            </c:multiLvlStrRef>
          </c:cat>
          <c:val>
            <c:numRef>
              <c:f>Hoja5!$B$31:$E$31</c:f>
              <c:numCache>
                <c:formatCode>"$"#,##0.00_);[Red]\("$"#,##0.00\)</c:formatCode>
                <c:ptCount val="4"/>
                <c:pt idx="0" formatCode="#,##0.00">
                  <c:v>19309.048999999999</c:v>
                </c:pt>
                <c:pt idx="1">
                  <c:v>433526.81</c:v>
                </c:pt>
                <c:pt idx="2" formatCode="#,##0.00">
                  <c:v>18376.96</c:v>
                </c:pt>
                <c:pt idx="3">
                  <c:v>452992.19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3F-4D38-84B7-14C6D5A63CB7}"/>
            </c:ext>
          </c:extLst>
        </c:ser>
        <c:ser>
          <c:idx val="2"/>
          <c:order val="2"/>
          <c:tx>
            <c:strRef>
              <c:f>Hoja5!$A$32</c:f>
              <c:strCache>
                <c:ptCount val="1"/>
                <c:pt idx="0">
                  <c:v>DIC,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Hoja5!$B$27:$E$29</c:f>
              <c:multiLvlStrCache>
                <c:ptCount val="4"/>
                <c:lvl>
                  <c:pt idx="0">
                    <c:v>LITROS</c:v>
                  </c:pt>
                  <c:pt idx="1">
                    <c:v>COSTO</c:v>
                  </c:pt>
                  <c:pt idx="2">
                    <c:v>LITROS</c:v>
                  </c:pt>
                  <c:pt idx="3">
                    <c:v>COSTO</c:v>
                  </c:pt>
                </c:lvl>
                <c:lvl>
                  <c:pt idx="0">
                    <c:v>MAGNA </c:v>
                  </c:pt>
                  <c:pt idx="2">
                    <c:v>MAGNA</c:v>
                  </c:pt>
                </c:lvl>
                <c:lvl>
                  <c:pt idx="0">
                    <c:v>2023</c:v>
                  </c:pt>
                  <c:pt idx="2">
                    <c:v>2024</c:v>
                  </c:pt>
                </c:lvl>
              </c:multiLvlStrCache>
            </c:multiLvlStrRef>
          </c:cat>
          <c:val>
            <c:numRef>
              <c:f>Hoja5!$B$32:$E$32</c:f>
              <c:numCache>
                <c:formatCode>"$"#,##0.00_);[Red]\("$"#,##0.00\)</c:formatCode>
                <c:ptCount val="4"/>
                <c:pt idx="0" formatCode="#,##0.00">
                  <c:v>7522.5749999999998</c:v>
                </c:pt>
                <c:pt idx="1">
                  <c:v>185055.27</c:v>
                </c:pt>
                <c:pt idx="2" formatCode="#,##0.00">
                  <c:v>18028.581999999999</c:v>
                </c:pt>
                <c:pt idx="3">
                  <c:v>444404.55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3F-4D38-84B7-14C6D5A63C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6786079"/>
        <c:axId val="438240031"/>
        <c:axId val="0"/>
      </c:bar3DChart>
      <c:catAx>
        <c:axId val="536786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8240031"/>
        <c:crosses val="autoZero"/>
        <c:auto val="1"/>
        <c:lblAlgn val="ctr"/>
        <c:lblOffset val="100"/>
        <c:noMultiLvlLbl val="0"/>
      </c:catAx>
      <c:valAx>
        <c:axId val="4382400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67860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Diferencia de consumo y pago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Hoja5!$I$30</c:f>
              <c:strCache>
                <c:ptCount val="1"/>
                <c:pt idx="0">
                  <c:v>OCT.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Hoja5!$J$27:$M$29</c:f>
              <c:multiLvlStrCache>
                <c:ptCount val="4"/>
                <c:lvl>
                  <c:pt idx="0">
                    <c:v>LITROS </c:v>
                  </c:pt>
                  <c:pt idx="1">
                    <c:v>COSTO</c:v>
                  </c:pt>
                  <c:pt idx="2">
                    <c:v>LITRO</c:v>
                  </c:pt>
                  <c:pt idx="3">
                    <c:v>COSTO</c:v>
                  </c:pt>
                </c:lvl>
                <c:lvl>
                  <c:pt idx="0">
                    <c:v>DIESEL</c:v>
                  </c:pt>
                  <c:pt idx="2">
                    <c:v>DIESEL</c:v>
                  </c:pt>
                </c:lvl>
                <c:lvl>
                  <c:pt idx="0">
                    <c:v>2023</c:v>
                  </c:pt>
                  <c:pt idx="2">
                    <c:v>2024</c:v>
                  </c:pt>
                </c:lvl>
              </c:multiLvlStrCache>
            </c:multiLvlStrRef>
          </c:cat>
          <c:val>
            <c:numRef>
              <c:f>Hoja5!$J$30:$M$30</c:f>
              <c:numCache>
                <c:formatCode>"$"#,##0.00_);[Red]\("$"#,##0.00\)</c:formatCode>
                <c:ptCount val="4"/>
                <c:pt idx="0" formatCode="#,##0.00">
                  <c:v>13076.89</c:v>
                </c:pt>
                <c:pt idx="1">
                  <c:v>318927.98</c:v>
                </c:pt>
                <c:pt idx="2" formatCode="#,##0.00">
                  <c:v>10114.35</c:v>
                </c:pt>
                <c:pt idx="3">
                  <c:v>261841.45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39-474E-B541-B7F16E96B86C}"/>
            </c:ext>
          </c:extLst>
        </c:ser>
        <c:ser>
          <c:idx val="1"/>
          <c:order val="1"/>
          <c:tx>
            <c:strRef>
              <c:f>Hoja5!$I$31</c:f>
              <c:strCache>
                <c:ptCount val="1"/>
                <c:pt idx="0">
                  <c:v>NOV.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Hoja5!$J$27:$M$29</c:f>
              <c:multiLvlStrCache>
                <c:ptCount val="4"/>
                <c:lvl>
                  <c:pt idx="0">
                    <c:v>LITROS </c:v>
                  </c:pt>
                  <c:pt idx="1">
                    <c:v>COSTO</c:v>
                  </c:pt>
                  <c:pt idx="2">
                    <c:v>LITRO</c:v>
                  </c:pt>
                  <c:pt idx="3">
                    <c:v>COSTO</c:v>
                  </c:pt>
                </c:lvl>
                <c:lvl>
                  <c:pt idx="0">
                    <c:v>DIESEL</c:v>
                  </c:pt>
                  <c:pt idx="2">
                    <c:v>DIESEL</c:v>
                  </c:pt>
                </c:lvl>
                <c:lvl>
                  <c:pt idx="0">
                    <c:v>2023</c:v>
                  </c:pt>
                  <c:pt idx="2">
                    <c:v>2024</c:v>
                  </c:pt>
                </c:lvl>
              </c:multiLvlStrCache>
            </c:multiLvlStrRef>
          </c:cat>
          <c:val>
            <c:numRef>
              <c:f>Hoja5!$J$31:$M$31</c:f>
              <c:numCache>
                <c:formatCode>"$"#,##0.00_);[Red]\("$"#,##0.00\)</c:formatCode>
                <c:ptCount val="4"/>
                <c:pt idx="0" formatCode="#,##0.00">
                  <c:v>9617.99</c:v>
                </c:pt>
                <c:pt idx="1">
                  <c:v>231830.93</c:v>
                </c:pt>
                <c:pt idx="2" formatCode="#,##0.00">
                  <c:v>9188.2900000000009</c:v>
                </c:pt>
                <c:pt idx="3">
                  <c:v>238436.35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39-474E-B541-B7F16E96B86C}"/>
            </c:ext>
          </c:extLst>
        </c:ser>
        <c:ser>
          <c:idx val="2"/>
          <c:order val="2"/>
          <c:tx>
            <c:strRef>
              <c:f>Hoja5!$I$32</c:f>
              <c:strCache>
                <c:ptCount val="1"/>
                <c:pt idx="0">
                  <c:v>DIC.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Hoja5!$J$27:$M$29</c:f>
              <c:multiLvlStrCache>
                <c:ptCount val="4"/>
                <c:lvl>
                  <c:pt idx="0">
                    <c:v>LITROS </c:v>
                  </c:pt>
                  <c:pt idx="1">
                    <c:v>COSTO</c:v>
                  </c:pt>
                  <c:pt idx="2">
                    <c:v>LITRO</c:v>
                  </c:pt>
                  <c:pt idx="3">
                    <c:v>COSTO</c:v>
                  </c:pt>
                </c:lvl>
                <c:lvl>
                  <c:pt idx="0">
                    <c:v>DIESEL</c:v>
                  </c:pt>
                  <c:pt idx="2">
                    <c:v>DIESEL</c:v>
                  </c:pt>
                </c:lvl>
                <c:lvl>
                  <c:pt idx="0">
                    <c:v>2023</c:v>
                  </c:pt>
                  <c:pt idx="2">
                    <c:v>2024</c:v>
                  </c:pt>
                </c:lvl>
              </c:multiLvlStrCache>
            </c:multiLvlStrRef>
          </c:cat>
          <c:val>
            <c:numRef>
              <c:f>Hoja5!$J$32:$M$32</c:f>
              <c:numCache>
                <c:formatCode>"$"#,##0.00_);[Red]\("$"#,##0.00\)</c:formatCode>
                <c:ptCount val="4"/>
                <c:pt idx="0" formatCode="#,##0.00">
                  <c:v>18446.47</c:v>
                </c:pt>
                <c:pt idx="1">
                  <c:v>419054.9</c:v>
                </c:pt>
                <c:pt idx="2" formatCode="#,##0.00">
                  <c:v>7541.1040000000003</c:v>
                </c:pt>
                <c:pt idx="3">
                  <c:v>195691.65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39-474E-B541-B7F16E96B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6784639"/>
        <c:axId val="536785119"/>
        <c:axId val="0"/>
      </c:bar3DChart>
      <c:catAx>
        <c:axId val="53678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6785119"/>
        <c:crosses val="autoZero"/>
        <c:auto val="1"/>
        <c:lblAlgn val="ctr"/>
        <c:lblOffset val="100"/>
        <c:noMultiLvlLbl val="0"/>
      </c:catAx>
      <c:valAx>
        <c:axId val="5367851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678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Suarez Aranzolo</dc:creator>
  <cp:keywords/>
  <dc:description/>
  <cp:lastModifiedBy>Coordinación Parque Vehicular</cp:lastModifiedBy>
  <cp:revision>2</cp:revision>
  <dcterms:created xsi:type="dcterms:W3CDTF">2025-01-16T17:12:00Z</dcterms:created>
  <dcterms:modified xsi:type="dcterms:W3CDTF">2025-01-16T17:12:00Z</dcterms:modified>
</cp:coreProperties>
</file>